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5B" w:rsidRPr="00FA0EE5" w:rsidRDefault="00C34B5B" w:rsidP="00FA0EE5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i/>
          <w:iCs/>
          <w:color w:val="000000"/>
          <w:sz w:val="48"/>
          <w:szCs w:val="48"/>
        </w:rPr>
      </w:pPr>
      <w:proofErr w:type="spellStart"/>
      <w:r w:rsidRPr="00FA0EE5">
        <w:rPr>
          <w:rFonts w:ascii="Arial" w:eastAsia="Arial" w:hAnsi="Arial" w:cs="Arial"/>
          <w:b/>
          <w:bCs/>
          <w:color w:val="FF0000"/>
          <w:sz w:val="48"/>
          <w:szCs w:val="48"/>
        </w:rPr>
        <w:t>BEZPEČNOSTNí</w:t>
      </w:r>
      <w:proofErr w:type="spellEnd"/>
      <w:r w:rsidRPr="00FA0EE5">
        <w:rPr>
          <w:rFonts w:ascii="Arial" w:eastAsia="Arial" w:hAnsi="Arial" w:cs="Arial"/>
          <w:b/>
          <w:bCs/>
          <w:color w:val="FF0000"/>
          <w:sz w:val="48"/>
          <w:szCs w:val="48"/>
        </w:rPr>
        <w:t xml:space="preserve"> LIST</w:t>
      </w:r>
    </w:p>
    <w:p w:rsidR="00C34B5B" w:rsidRPr="00FA0EE5" w:rsidRDefault="00C34B5B" w:rsidP="00FA0EE5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</w:rPr>
        <w:t>podle nařízení (ES) č. 1907/2006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C34B5B" w:rsidRPr="00FA0EE5">
        <w:trPr>
          <w:trHeight w:val="418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5B" w:rsidRPr="00FA0EE5" w:rsidRDefault="001B53B7" w:rsidP="00FA0EE5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FA0EE5"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  <w:t>ODDÍ</w:t>
            </w:r>
            <w:r w:rsidR="0004237B" w:rsidRPr="00FA0EE5"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  <w:t>L 1: IDENTIFIKACE LÁ</w:t>
            </w:r>
            <w:r w:rsidR="00C34B5B" w:rsidRPr="00FA0EE5">
              <w:rPr>
                <w:rFonts w:ascii="Arial" w:eastAsia="Arial" w:hAnsi="Arial" w:cs="Arial"/>
                <w:b/>
                <w:bCs/>
                <w:color w:val="0000FF"/>
                <w:sz w:val="28"/>
                <w:szCs w:val="28"/>
              </w:rPr>
              <w:t>TKY/SMĚSI A SPOLEČNOSTI/PODNIKU</w:t>
            </w:r>
          </w:p>
        </w:tc>
      </w:tr>
    </w:tbl>
    <w:p w:rsidR="00C34B5B" w:rsidRPr="00FA73D9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1.1. Identifikátor výrobku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Název výrobku: </w:t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proofErr w:type="spellStart"/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Campex</w:t>
      </w:r>
      <w:proofErr w:type="spellEnd"/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Originál</w:t>
      </w:r>
    </w:p>
    <w:p w:rsidR="0004237B" w:rsidRPr="00FA0EE5" w:rsidRDefault="0004237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Další údaje: </w:t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="0004237B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color w:val="000000"/>
          <w:sz w:val="18"/>
          <w:szCs w:val="18"/>
        </w:rPr>
        <w:t>Viz oddíl: 3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1.2. Příslušná určená použití látky nebo směsi a nedoporučená použití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Určená použití</w:t>
      </w:r>
    </w:p>
    <w:p w:rsidR="00342AFF" w:rsidRPr="00FA0EE5" w:rsidRDefault="00342AFF" w:rsidP="00342AFF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Sanitární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připravek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pro chemické toalety.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Nedoporučované způsoby použití</w:t>
      </w:r>
    </w:p>
    <w:p w:rsidR="00C34B5B" w:rsidRPr="00FA0EE5" w:rsidRDefault="0004237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není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1.3. Podrobné údaje o dodavateli bezpečnostního listu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Petr Fiala Velkoobchod s drogerií s.r.o.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 xml:space="preserve">Hlavní 74, 362 63 </w:t>
      </w:r>
      <w:proofErr w:type="spellStart"/>
      <w:r w:rsidRPr="00FA0EE5">
        <w:rPr>
          <w:rFonts w:ascii="Arial" w:eastAsia="Times New Roman" w:hAnsi="Arial" w:cs="Arial"/>
          <w:kern w:val="0"/>
          <w:sz w:val="18"/>
          <w:szCs w:val="18"/>
        </w:rPr>
        <w:t>Dalovice</w:t>
      </w:r>
      <w:proofErr w:type="spellEnd"/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Česká republika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Identifikační číslo (IČO): 263 81 001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Telefon: +420 353 234 657</w:t>
      </w:r>
    </w:p>
    <w:p w:rsidR="0004237B" w:rsidRPr="00FA0EE5" w:rsidRDefault="0004237B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Fax: +420 353 234 657</w:t>
      </w:r>
    </w:p>
    <w:p w:rsidR="0004237B" w:rsidRPr="00FA0EE5" w:rsidRDefault="0004237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E-mail: petrfiala@petrfiala.cz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Připraven (kým):</w:t>
      </w:r>
    </w:p>
    <w:p w:rsidR="0004237B" w:rsidRPr="00FA0EE5" w:rsidRDefault="00D22314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Mgr. Karel Polák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r w:rsidR="00D22314" w:rsidRPr="00FA0EE5">
        <w:rPr>
          <w:rFonts w:ascii="Arial" w:eastAsia="Arial" w:hAnsi="Arial" w:cs="Arial"/>
          <w:color w:val="000000"/>
          <w:sz w:val="18"/>
          <w:szCs w:val="18"/>
        </w:rPr>
        <w:t>polak@campex.cz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1.4. Telefonní číslo pro naléhavé situace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CARECHEM24 INTERNATIONAL (MULTILINGUAL SERVICE)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+44 (0) 1235 239 670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Informace pro nouzové situace: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 xml:space="preserve">Klinika nemocí z povolání, </w:t>
      </w:r>
      <w:proofErr w:type="spellStart"/>
      <w:r w:rsidRPr="00FA0EE5">
        <w:rPr>
          <w:rFonts w:ascii="Arial" w:eastAsia="Arial" w:hAnsi="Arial" w:cs="Arial"/>
          <w:color w:val="000000"/>
          <w:sz w:val="18"/>
          <w:szCs w:val="18"/>
        </w:rPr>
        <w:t>Tox</w:t>
      </w:r>
      <w:proofErr w:type="spellEnd"/>
      <w:r w:rsidRPr="00FA0EE5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spellStart"/>
      <w:r w:rsidRPr="00FA0EE5">
        <w:rPr>
          <w:rFonts w:ascii="Arial" w:eastAsia="Arial" w:hAnsi="Arial" w:cs="Arial"/>
          <w:color w:val="000000"/>
          <w:sz w:val="18"/>
          <w:szCs w:val="18"/>
        </w:rPr>
        <w:t>inf</w:t>
      </w:r>
      <w:proofErr w:type="spellEnd"/>
      <w:r w:rsidRPr="00FA0EE5">
        <w:rPr>
          <w:rFonts w:ascii="Arial" w:eastAsia="Arial" w:hAnsi="Arial" w:cs="Arial"/>
          <w:color w:val="000000"/>
          <w:sz w:val="18"/>
          <w:szCs w:val="18"/>
        </w:rPr>
        <w:t>. středisko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Arial" w:hAnsi="Arial" w:cs="Arial"/>
          <w:color w:val="000000"/>
          <w:sz w:val="18"/>
          <w:szCs w:val="18"/>
        </w:rPr>
        <w:t>Na bojišti 1, 128 08 Praha 2, CZECH REPUBLIC</w:t>
      </w:r>
    </w:p>
    <w:p w:rsidR="001E6BD4" w:rsidRPr="00FA0EE5" w:rsidRDefault="001E6BD4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+420 224919293, +420 224915402, +420 224914575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2: ÚDAJE O NEBEZPEČNOSTI LÁTKY NEBO PŘÍPRAVKU</w:t>
      </w:r>
    </w:p>
    <w:p w:rsidR="001E6BD4" w:rsidRPr="00FA0EE5" w:rsidRDefault="001E6BD4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9D059D" w:rsidRPr="00FA0EE5" w:rsidRDefault="009D059D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2.1 Klasifikace </w:t>
      </w:r>
      <w:r w:rsidR="006C1459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látky nebo směsi</w:t>
      </w:r>
    </w:p>
    <w:p w:rsidR="006C1459" w:rsidRPr="00FA0EE5" w:rsidRDefault="00195462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Klasifikace </w:t>
      </w:r>
      <w:r w:rsidR="006C1459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6C1459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Campex</w:t>
      </w:r>
      <w:proofErr w:type="spellEnd"/>
      <w:r w:rsidR="006C1459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Originál dle nařízení (ES) č. 1272/2008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nebezpečné látky: 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Kvarterní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amonné sloučeniny. benzyl-c12-16-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alkyldimethyl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, chloridy (CAS:68424-85-1)</w:t>
      </w:r>
    </w:p>
    <w:p w:rsidR="006C1459" w:rsidRPr="00FA0EE5" w:rsidRDefault="006C1459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Signální slovo: Nebezpečí</w:t>
      </w:r>
    </w:p>
    <w:p w:rsidR="00363B35" w:rsidRPr="00FA0EE5" w:rsidRDefault="00363B35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Výstražné symboly: GHS05+GHS07+GHS09</w:t>
      </w:r>
    </w:p>
    <w:p w:rsidR="00363B35" w:rsidRPr="00FA0EE5" w:rsidRDefault="00363B35" w:rsidP="00FA0EE5">
      <w:pPr>
        <w:autoSpaceDE w:val="0"/>
        <w:spacing w:line="360" w:lineRule="auto"/>
        <w:jc w:val="center"/>
        <w:rPr>
          <w:rFonts w:ascii="Arial" w:eastAsia="Arial" w:hAnsi="Arial" w:cs="Arial"/>
          <w:bCs/>
          <w:color w:val="000000"/>
          <w:sz w:val="18"/>
          <w:szCs w:val="18"/>
        </w:rPr>
      </w:pPr>
    </w:p>
    <w:p w:rsidR="00363B35" w:rsidRPr="00FA0EE5" w:rsidRDefault="00363B35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Skin 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Corr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r w:rsidR="002E27D4"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1B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H314 Způsobuje těžké poleptání kůže</w:t>
      </w:r>
    </w:p>
    <w:p w:rsidR="00363B35" w:rsidRPr="00FA0EE5" w:rsidRDefault="00363B35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Acute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Tox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. </w:t>
      </w:r>
      <w:r w:rsidR="002E27D4"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4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H312 Zdraví škodlivý při styku s kůží</w:t>
      </w:r>
    </w:p>
    <w:p w:rsidR="002E27D4" w:rsidRPr="00FA0EE5" w:rsidRDefault="002E27D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Acute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Tox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. 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4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H302 Zdraví škodlivý při požití</w:t>
      </w:r>
    </w:p>
    <w:p w:rsidR="002E27D4" w:rsidRPr="00FA0EE5" w:rsidRDefault="002E27D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Aquatic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Acute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1</w:t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</w: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ab/>
        <w:t>H400 Vysoce toxický pro vodní organismy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2.2 Prvky označení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Označení obalu </w:t>
      </w:r>
      <w:proofErr w:type="spellStart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Campex</w:t>
      </w:r>
      <w:proofErr w:type="spellEnd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Originál dle nařízení (ES) č. 1272/2008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nebezpečné látky: 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Kvarterní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 amonné sloučeniny. benzyl-c12-16-</w:t>
      </w:r>
      <w:proofErr w:type="spellStart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alkyldimethyl</w:t>
      </w:r>
      <w:proofErr w:type="spellEnd"/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, chloridy (CAS:68424-85-1)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Signální slovo: Nebezpečí</w:t>
      </w:r>
    </w:p>
    <w:p w:rsidR="0036381A" w:rsidRPr="00FA0EE5" w:rsidRDefault="0036381A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Výstražné symboly: GHS05+GHS07+GHS09</w:t>
      </w:r>
    </w:p>
    <w:p w:rsidR="00141D46" w:rsidRPr="00FA0EE5" w:rsidRDefault="00D74BFC" w:rsidP="00141D46">
      <w:pPr>
        <w:autoSpaceDE w:val="0"/>
        <w:spacing w:line="360" w:lineRule="auto"/>
        <w:jc w:val="center"/>
        <w:rPr>
          <w:rFonts w:ascii="Arial" w:eastAsia="Arial" w:hAnsi="Arial" w:cs="Arial"/>
          <w:bCs/>
          <w:color w:val="000000"/>
          <w:sz w:val="18"/>
          <w:szCs w:val="18"/>
        </w:rPr>
      </w:pP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>
            <wp:extent cx="1514475" cy="1514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>
            <wp:extent cx="1514475" cy="151447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>
            <wp:extent cx="1514475" cy="151447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9D" w:rsidRPr="00FA0EE5" w:rsidRDefault="009D059D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proofErr w:type="spellStart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Standartní</w:t>
      </w:r>
      <w:proofErr w:type="spellEnd"/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věty o nebezpečnosti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H314 Způsobuje těžké poleptání kůže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H312 Zdraví škodlivý při styku s kůží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H302 Zdraví škodlivý při požití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H400 Vysoce toxický pro vodní organismy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Poky</w:t>
      </w:r>
      <w:r w:rsidR="00594964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pro bezpečné zacházení – prevence</w:t>
      </w:r>
    </w:p>
    <w:p w:rsidR="00326508" w:rsidRDefault="00326508" w:rsidP="00326508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>
        <w:rPr>
          <w:rFonts w:ascii="Arial" w:eastAsia="Arial" w:hAnsi="Arial" w:cs="Arial"/>
          <w:bCs/>
          <w:color w:val="000000"/>
          <w:sz w:val="18"/>
          <w:szCs w:val="18"/>
        </w:rPr>
        <w:t>P102 Uchovávejte mimo dosah dětí</w:t>
      </w:r>
    </w:p>
    <w:p w:rsidR="00326508" w:rsidRDefault="00326508" w:rsidP="00326508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P264 Po manipulaci důkladně omyjte vodou</w:t>
      </w:r>
    </w:p>
    <w:p w:rsidR="00326508" w:rsidRPr="00FA0EE5" w:rsidRDefault="00326508" w:rsidP="00326508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P273 Zabraňte uvolnění do životního prostředí</w:t>
      </w:r>
    </w:p>
    <w:p w:rsidR="00326508" w:rsidRDefault="00326508" w:rsidP="00326508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P280 </w:t>
      </w:r>
      <w:r w:rsidRPr="00FA0EE5">
        <w:rPr>
          <w:rFonts w:ascii="Arial" w:hAnsi="Arial" w:cs="Arial"/>
          <w:sz w:val="18"/>
          <w:szCs w:val="18"/>
        </w:rPr>
        <w:t>Používejte ochranné rukavice/ochranný oděv/ochranné brýle/obličejový štít.</w:t>
      </w:r>
    </w:p>
    <w:p w:rsidR="00326508" w:rsidRPr="00FA0EE5" w:rsidRDefault="00326508" w:rsidP="00326508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P405 Skladujte uzamčené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Poky</w:t>
      </w:r>
      <w:r w:rsidR="00594964"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pro bezpečné zacházení – reakce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P301+P330+P331</w:t>
      </w:r>
      <w:r w:rsidR="00594964" w:rsidRPr="00FA0EE5">
        <w:rPr>
          <w:rFonts w:ascii="Arial" w:hAnsi="Arial" w:cs="Arial"/>
          <w:sz w:val="18"/>
          <w:szCs w:val="18"/>
        </w:rPr>
        <w:t>+P315</w:t>
      </w:r>
      <w:r w:rsidRPr="00FA0EE5">
        <w:rPr>
          <w:rFonts w:ascii="Arial" w:hAnsi="Arial" w:cs="Arial"/>
          <w:sz w:val="18"/>
          <w:szCs w:val="18"/>
        </w:rPr>
        <w:t xml:space="preserve"> Při požití </w:t>
      </w:r>
      <w:r w:rsidR="00594964" w:rsidRPr="00FA0EE5">
        <w:rPr>
          <w:rFonts w:ascii="Arial" w:hAnsi="Arial" w:cs="Arial"/>
          <w:sz w:val="18"/>
          <w:szCs w:val="18"/>
        </w:rPr>
        <w:t xml:space="preserve">vypláchněte ústa, nevyvolávejte </w:t>
      </w:r>
      <w:proofErr w:type="gramStart"/>
      <w:r w:rsidR="00594964" w:rsidRPr="00FA0EE5">
        <w:rPr>
          <w:rFonts w:ascii="Arial" w:hAnsi="Arial" w:cs="Arial"/>
          <w:sz w:val="18"/>
          <w:szCs w:val="18"/>
        </w:rPr>
        <w:t>zvracení  a okamžitě</w:t>
      </w:r>
      <w:proofErr w:type="gramEnd"/>
      <w:r w:rsidR="00594964" w:rsidRPr="00FA0EE5">
        <w:rPr>
          <w:rFonts w:ascii="Arial" w:hAnsi="Arial" w:cs="Arial"/>
          <w:sz w:val="18"/>
          <w:szCs w:val="18"/>
        </w:rPr>
        <w:t xml:space="preserve"> vyhledejte lékaře.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P303+P361+P353 Při styku s kůží (nebo s vlasy) Veškeré kontaminované části oděvu okamžitě 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svlékněte. Opláchněte kůži vodou/osprchujte 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P305+P351+P338</w:t>
      </w:r>
      <w:r w:rsidR="00594964" w:rsidRPr="00FA0EE5">
        <w:rPr>
          <w:rFonts w:ascii="Arial" w:hAnsi="Arial" w:cs="Arial"/>
          <w:sz w:val="18"/>
          <w:szCs w:val="18"/>
        </w:rPr>
        <w:t>+P315</w:t>
      </w:r>
      <w:r w:rsidRPr="00FA0EE5">
        <w:rPr>
          <w:rFonts w:ascii="Arial" w:hAnsi="Arial" w:cs="Arial"/>
          <w:sz w:val="18"/>
          <w:szCs w:val="18"/>
        </w:rPr>
        <w:t xml:space="preserve"> Při zasažení očí několik minut oplachujte vodou. Vyjměte kontaktní čočky, jsou-li </w:t>
      </w:r>
    </w:p>
    <w:p w:rsidR="00ED689B" w:rsidRPr="00FA0EE5" w:rsidRDefault="00ED689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A0EE5">
        <w:rPr>
          <w:rFonts w:ascii="Arial" w:hAnsi="Arial" w:cs="Arial"/>
          <w:sz w:val="18"/>
          <w:szCs w:val="18"/>
        </w:rPr>
        <w:t>nasazeny a pokud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je lze vyjmout snadno. Pokračujte ve vyplachování. </w:t>
      </w:r>
      <w:r w:rsidR="00594964" w:rsidRPr="00FA0EE5">
        <w:rPr>
          <w:rFonts w:ascii="Arial" w:hAnsi="Arial" w:cs="Arial"/>
          <w:sz w:val="18"/>
          <w:szCs w:val="18"/>
        </w:rPr>
        <w:t xml:space="preserve">Poté ihned </w:t>
      </w:r>
      <w:proofErr w:type="spellStart"/>
      <w:r w:rsidR="00594964" w:rsidRPr="00FA0EE5">
        <w:rPr>
          <w:rFonts w:ascii="Arial" w:hAnsi="Arial" w:cs="Arial"/>
          <w:sz w:val="18"/>
          <w:szCs w:val="18"/>
        </w:rPr>
        <w:t>vyhledte</w:t>
      </w:r>
      <w:proofErr w:type="spellEnd"/>
      <w:r w:rsidR="00594964" w:rsidRPr="00FA0EE5">
        <w:rPr>
          <w:rFonts w:ascii="Arial" w:hAnsi="Arial" w:cs="Arial"/>
          <w:sz w:val="18"/>
          <w:szCs w:val="18"/>
        </w:rPr>
        <w:t xml:space="preserve"> lékaře.</w:t>
      </w:r>
    </w:p>
    <w:p w:rsidR="00ED689B" w:rsidRPr="00FA0EE5" w:rsidRDefault="00ED689B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P501 Odstraňte obsah/obal jako nebezpečný odpad </w:t>
      </w:r>
    </w:p>
    <w:p w:rsidR="00594964" w:rsidRPr="00FA0EE5" w:rsidRDefault="00594964" w:rsidP="00FA0EE5">
      <w:pPr>
        <w:autoSpaceDE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2.3 Další nebezpečnost</w:t>
      </w:r>
    </w:p>
    <w:p w:rsidR="00594964" w:rsidRPr="00FA0EE5" w:rsidRDefault="0059496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Při inhalaci par teplého přípravku může dojít k podráždění dýchacích cest. Při úniků do vodních </w:t>
      </w:r>
      <w:r w:rsidR="00347A01" w:rsidRPr="00FA0EE5">
        <w:rPr>
          <w:rFonts w:ascii="Arial" w:hAnsi="Arial" w:cs="Arial"/>
          <w:sz w:val="18"/>
          <w:szCs w:val="18"/>
        </w:rPr>
        <w:t>toků pění.</w:t>
      </w:r>
      <w:r w:rsidR="00431DA8" w:rsidRPr="00FA0EE5">
        <w:rPr>
          <w:rFonts w:ascii="Arial" w:hAnsi="Arial" w:cs="Arial"/>
          <w:sz w:val="18"/>
          <w:szCs w:val="18"/>
        </w:rPr>
        <w:t xml:space="preserve"> Přípravek obsahuje přírodní vonné extrakty a barviva schopné vyvolat alergické kožní reakce v koncentracích nevyžadujících klasifikaci nebo označení přípravku těmito třídami nebezpečnosti.</w:t>
      </w:r>
    </w:p>
    <w:p w:rsidR="00594964" w:rsidRPr="00FA0EE5" w:rsidRDefault="00594964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</w:p>
    <w:p w:rsidR="00F832C2" w:rsidRPr="00FA0EE5" w:rsidRDefault="00F832C2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C34B5B" w:rsidRPr="00FA0EE5" w:rsidRDefault="00C34B5B" w:rsidP="00F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3: INFORMACE O SLOŽENÍ LÁTKY NEBO PŘÍPRAVKU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3.1 Látky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Složení: Vodný roztok alkyl-</w:t>
      </w:r>
      <w:proofErr w:type="spellStart"/>
      <w:r w:rsidRPr="00FA0EE5">
        <w:rPr>
          <w:rFonts w:ascii="Arial" w:hAnsi="Arial" w:cs="Arial"/>
          <w:sz w:val="18"/>
          <w:szCs w:val="18"/>
        </w:rPr>
        <w:t>dimethyl</w:t>
      </w:r>
      <w:proofErr w:type="spellEnd"/>
      <w:r w:rsidRPr="00FA0EE5">
        <w:rPr>
          <w:rFonts w:ascii="Arial" w:hAnsi="Arial" w:cs="Arial"/>
          <w:sz w:val="18"/>
          <w:szCs w:val="18"/>
        </w:rPr>
        <w:t>-benzyl-amonium chloridu (</w:t>
      </w:r>
      <w:proofErr w:type="spellStart"/>
      <w:r w:rsidRPr="00FA0EE5">
        <w:rPr>
          <w:rFonts w:ascii="Arial" w:hAnsi="Arial" w:cs="Arial"/>
          <w:sz w:val="18"/>
          <w:szCs w:val="18"/>
        </w:rPr>
        <w:t>Kvarterní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amonné sloučeniny, </w:t>
      </w:r>
    </w:p>
    <w:p w:rsidR="00431DA8" w:rsidRPr="00FA0EE5" w:rsidRDefault="00347A01" w:rsidP="00FA0EE5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benzyl-C12-16-</w:t>
      </w:r>
      <w:proofErr w:type="spellStart"/>
      <w:r w:rsidRPr="00FA0EE5">
        <w:rPr>
          <w:rFonts w:ascii="Arial" w:hAnsi="Arial" w:cs="Arial"/>
          <w:sz w:val="18"/>
          <w:szCs w:val="18"/>
        </w:rPr>
        <w:t>alkyldimethyl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chloridy), obsah cca 20 % </w:t>
      </w:r>
      <w:r w:rsidR="00431DA8" w:rsidRPr="00FA0EE5">
        <w:rPr>
          <w:rFonts w:ascii="Arial" w:hAnsi="Arial" w:cs="Arial"/>
          <w:sz w:val="18"/>
          <w:szCs w:val="18"/>
        </w:rPr>
        <w:t>a barviv a přírodních vonných extraktů v koncentracích nevyžadují</w:t>
      </w:r>
      <w:r w:rsidR="005B2ED8">
        <w:rPr>
          <w:rFonts w:ascii="Arial" w:hAnsi="Arial" w:cs="Arial"/>
          <w:sz w:val="18"/>
          <w:szCs w:val="18"/>
        </w:rPr>
        <w:t>cích klasifikaci nebo označení</w:t>
      </w:r>
      <w:r w:rsidR="00431DA8" w:rsidRPr="00FA0EE5">
        <w:rPr>
          <w:rFonts w:ascii="Arial" w:hAnsi="Arial" w:cs="Arial"/>
          <w:sz w:val="18"/>
          <w:szCs w:val="18"/>
        </w:rPr>
        <w:t>.</w:t>
      </w:r>
    </w:p>
    <w:p w:rsidR="00431DA8" w:rsidRPr="00FA0EE5" w:rsidRDefault="00431DA8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347A01" w:rsidRPr="00FA0EE5" w:rsidRDefault="00431DA8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I</w:t>
      </w:r>
      <w:r w:rsidR="00347A01" w:rsidRPr="00FA0EE5">
        <w:rPr>
          <w:rFonts w:ascii="Arial" w:hAnsi="Arial" w:cs="Arial"/>
          <w:sz w:val="18"/>
          <w:szCs w:val="18"/>
        </w:rPr>
        <w:t xml:space="preserve">NCI: BENZALKONIUM CHLORIDE 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FA0EE5">
        <w:rPr>
          <w:rFonts w:ascii="Arial" w:hAnsi="Arial" w:cs="Arial"/>
          <w:sz w:val="18"/>
          <w:szCs w:val="18"/>
        </w:rPr>
        <w:t>Chem</w:t>
      </w:r>
      <w:proofErr w:type="spellEnd"/>
      <w:r w:rsidRPr="00FA0EE5">
        <w:rPr>
          <w:rFonts w:ascii="Arial" w:hAnsi="Arial" w:cs="Arial"/>
          <w:sz w:val="18"/>
          <w:szCs w:val="18"/>
        </w:rPr>
        <w:t>./</w:t>
      </w:r>
      <w:proofErr w:type="spellStart"/>
      <w:r w:rsidRPr="00FA0EE5">
        <w:rPr>
          <w:rFonts w:ascii="Arial" w:hAnsi="Arial" w:cs="Arial"/>
          <w:sz w:val="18"/>
          <w:szCs w:val="18"/>
        </w:rPr>
        <w:t>Iupac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0EE5">
        <w:rPr>
          <w:rFonts w:ascii="Arial" w:hAnsi="Arial" w:cs="Arial"/>
          <w:sz w:val="18"/>
          <w:szCs w:val="18"/>
        </w:rPr>
        <w:t>name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FA0EE5">
        <w:rPr>
          <w:rFonts w:ascii="Arial" w:hAnsi="Arial" w:cs="Arial"/>
          <w:sz w:val="18"/>
          <w:szCs w:val="18"/>
        </w:rPr>
        <w:t>Quarternary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0EE5">
        <w:rPr>
          <w:rFonts w:ascii="Arial" w:hAnsi="Arial" w:cs="Arial"/>
          <w:sz w:val="18"/>
          <w:szCs w:val="18"/>
        </w:rPr>
        <w:t>ammonium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0EE5">
        <w:rPr>
          <w:rFonts w:ascii="Arial" w:hAnsi="Arial" w:cs="Arial"/>
          <w:sz w:val="18"/>
          <w:szCs w:val="18"/>
        </w:rPr>
        <w:t>compounds</w:t>
      </w:r>
      <w:proofErr w:type="spellEnd"/>
      <w:r w:rsidRPr="00FA0EE5">
        <w:rPr>
          <w:rFonts w:ascii="Arial" w:hAnsi="Arial" w:cs="Arial"/>
          <w:sz w:val="18"/>
          <w:szCs w:val="18"/>
        </w:rPr>
        <w:t>, benzyl-C12-16-</w:t>
      </w:r>
      <w:proofErr w:type="spellStart"/>
      <w:r w:rsidRPr="00FA0EE5">
        <w:rPr>
          <w:rFonts w:ascii="Arial" w:hAnsi="Arial" w:cs="Arial"/>
          <w:sz w:val="18"/>
          <w:szCs w:val="18"/>
        </w:rPr>
        <w:t>alkyldimethyl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A0EE5">
        <w:rPr>
          <w:rFonts w:ascii="Arial" w:hAnsi="Arial" w:cs="Arial"/>
          <w:sz w:val="18"/>
          <w:szCs w:val="18"/>
        </w:rPr>
        <w:t>chlorides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Číslo CAS: 68424-85-1 </w:t>
      </w:r>
    </w:p>
    <w:p w:rsidR="00347A01" w:rsidRPr="00FA0EE5" w:rsidRDefault="00347A01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Číslo EINECS: 270-325-2 </w:t>
      </w:r>
    </w:p>
    <w:p w:rsidR="00347A01" w:rsidRPr="00FA0EE5" w:rsidRDefault="00347A01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Indexové číslo: - 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br w:type="page"/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lastRenderedPageBreak/>
        <w:t>ODDÍL 4: POKYNY PRO PRVNÍ POMOC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4.1 Popis první pomoci: </w:t>
      </w:r>
      <w:r w:rsidRPr="00FA0EE5">
        <w:rPr>
          <w:rFonts w:ascii="Arial" w:hAnsi="Arial" w:cs="Arial"/>
          <w:sz w:val="18"/>
          <w:szCs w:val="18"/>
        </w:rPr>
        <w:t xml:space="preserve">Při práci s látkou nejíst, nepít, nekouřit, dodržovat zásady osobní hygieny.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Při zasažení látkou je nutná okamžitá lékařská pomoc při zasažení očí a při požití.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4.1.1 Pokyny pro první pomoc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nadýchání:</w:t>
      </w:r>
      <w:r w:rsidRPr="00FA0EE5">
        <w:rPr>
          <w:rFonts w:ascii="Arial" w:hAnsi="Arial" w:cs="Arial"/>
          <w:sz w:val="18"/>
          <w:szCs w:val="18"/>
        </w:rPr>
        <w:t xml:space="preserve"> Zajistit základní životní funkce. Dopravit postiženého na čerstvý vzduch,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vyhledat pomoc lékaře. V případě bezvědomí uložit do stabilizované polohy.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styku s kůží:</w:t>
      </w:r>
      <w:r w:rsidRPr="00FA0EE5">
        <w:rPr>
          <w:rFonts w:ascii="Arial" w:hAnsi="Arial" w:cs="Arial"/>
          <w:sz w:val="18"/>
          <w:szCs w:val="18"/>
        </w:rPr>
        <w:t xml:space="preserve"> Odložit veškeré kontaminované oblečení, ihned omýt kůži větším množstvím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teplé vody a mýdlem. Zajistit lékařské ošetření při přetrvávajících potížích.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zasažení očí:</w:t>
      </w:r>
      <w:r w:rsidRPr="00FA0EE5">
        <w:rPr>
          <w:rFonts w:ascii="Arial" w:hAnsi="Arial" w:cs="Arial"/>
          <w:sz w:val="18"/>
          <w:szCs w:val="18"/>
        </w:rPr>
        <w:t xml:space="preserve"> Ihned vypláchnout oči proudem tekoucí vody, rozevřít oční víčka (třeba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 násilím); pokud má postižený kontaktní čočky, neprodleně je vyjmout.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žádném případě neprovádět neutralizaci! Výplach provádět 10 až 30 minut od vnitřního koutku k zevnímu, aby nebylo zasaženo druhé oko. Podle situace volat záchrannou službu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nebo zajistit co nejrychleji lékařské odborné ošetření. K vyšetření musí být odeslán každý i v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A0EE5">
        <w:rPr>
          <w:rFonts w:ascii="Arial" w:hAnsi="Arial" w:cs="Arial"/>
          <w:sz w:val="18"/>
          <w:szCs w:val="18"/>
        </w:rPr>
        <w:t>případě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malého zasažení.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Při náhodném požití:</w:t>
      </w:r>
      <w:r w:rsidRPr="00FA0EE5">
        <w:rPr>
          <w:rFonts w:ascii="Arial" w:hAnsi="Arial" w:cs="Arial"/>
          <w:sz w:val="18"/>
          <w:szCs w:val="18"/>
        </w:rPr>
        <w:t xml:space="preserve"> </w:t>
      </w:r>
      <w:r w:rsidRPr="00FA0EE5">
        <w:rPr>
          <w:rFonts w:ascii="Arial" w:hAnsi="Arial" w:cs="Arial"/>
          <w:b/>
          <w:bCs/>
          <w:sz w:val="18"/>
          <w:szCs w:val="18"/>
        </w:rPr>
        <w:t xml:space="preserve">Nevyvolávat zvracení! </w:t>
      </w:r>
      <w:r w:rsidRPr="00FA0EE5">
        <w:rPr>
          <w:rFonts w:ascii="Arial" w:hAnsi="Arial" w:cs="Arial"/>
          <w:sz w:val="18"/>
          <w:szCs w:val="18"/>
        </w:rPr>
        <w:t>Hrozí nebezpečí dalšího poškození zažívacího traktu! Okamžitě vypláchnout ústní dutinu vodou a dát vypít 0,2 až 0,5 litru chladné vody ke zmírnění účinku žíraviny.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 w:rsidRPr="00FA0EE5">
        <w:rPr>
          <w:rFonts w:ascii="Arial" w:hAnsi="Arial" w:cs="Arial"/>
          <w:color w:val="0000FF"/>
          <w:sz w:val="18"/>
          <w:szCs w:val="18"/>
        </w:rPr>
        <w:t>Ochrana osoby poskytující první pomoc:</w:t>
      </w:r>
      <w:r w:rsidRPr="00FA0EE5">
        <w:rPr>
          <w:rFonts w:ascii="Arial" w:hAnsi="Arial" w:cs="Arial"/>
          <w:sz w:val="18"/>
          <w:szCs w:val="18"/>
        </w:rPr>
        <w:t xml:space="preserve"> Používejte vhodné ochranné </w:t>
      </w:r>
      <w:proofErr w:type="spellStart"/>
      <w:r w:rsidRPr="00FA0EE5">
        <w:rPr>
          <w:rFonts w:ascii="Arial" w:hAnsi="Arial" w:cs="Arial"/>
          <w:sz w:val="18"/>
          <w:szCs w:val="18"/>
        </w:rPr>
        <w:t>prostredky</w:t>
      </w:r>
      <w:proofErr w:type="spellEnd"/>
      <w:r w:rsidRPr="00FA0EE5">
        <w:rPr>
          <w:rFonts w:ascii="Arial" w:hAnsi="Arial" w:cs="Arial"/>
          <w:sz w:val="18"/>
          <w:szCs w:val="18"/>
        </w:rPr>
        <w:t>.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4.2 Nejdůležitější akutní a opožděné symptomy a účinky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Látka je klasifikovaná jako žíravá. Při nedokonalém opláchnutí mohou nastat opožděné symptomy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– další poškození tkání </w:t>
      </w:r>
    </w:p>
    <w:p w:rsidR="00C34B5B" w:rsidRPr="00FA0EE5" w:rsidRDefault="00C34B5B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4.3 Pokyn, týkající se okamžité lékařské pomoci a zvláštního ošetření 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Při zasažení látkou je nutná okamžitá lékařská pomoc při zasažení očí a při požití.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5: OPATŘENÍ PRO HAŠENÍ POŽÁRU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B53B7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>5.1 Hasiva</w:t>
      </w:r>
      <w:r w:rsidRPr="00FA0EE5">
        <w:rPr>
          <w:rFonts w:ascii="Arial" w:hAnsi="Arial" w:cs="Arial"/>
          <w:sz w:val="18"/>
          <w:szCs w:val="18"/>
        </w:rPr>
        <w:t xml:space="preserve">: Látka není hořlavá, hasiva je nutno přizpůsobit materiálům v okolí. </w:t>
      </w:r>
    </w:p>
    <w:p w:rsidR="00827EC2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Nevhodná hasiva: Přímý vodní proud. Vhodný pouze na chlazení. </w:t>
      </w:r>
    </w:p>
    <w:p w:rsidR="00827EC2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5.2 Zvláštní nebezpečí vyplývající z látky nebo směsi: </w:t>
      </w:r>
      <w:r w:rsidRPr="00FA0EE5">
        <w:rPr>
          <w:rFonts w:ascii="Arial" w:hAnsi="Arial" w:cs="Arial"/>
          <w:sz w:val="18"/>
          <w:szCs w:val="18"/>
        </w:rPr>
        <w:t xml:space="preserve">Zplodiny obsahují oxidy uhlíku, oxidy </w:t>
      </w:r>
    </w:p>
    <w:p w:rsidR="00827EC2" w:rsidRPr="00FA0EE5" w:rsidRDefault="00827EC2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chlóru, oxidy dusíku a páry aminu. Tento materiál je velmi toxický pro vodní organismy. </w:t>
      </w:r>
      <w:proofErr w:type="gramStart"/>
      <w:r w:rsidRPr="00FA0EE5">
        <w:rPr>
          <w:rFonts w:ascii="Arial" w:hAnsi="Arial" w:cs="Arial"/>
          <w:sz w:val="18"/>
          <w:szCs w:val="18"/>
        </w:rPr>
        <w:t xml:space="preserve">Voda </w:t>
      </w:r>
      <w:r w:rsidR="001B53B7" w:rsidRPr="00FA0EE5">
        <w:rPr>
          <w:rFonts w:ascii="Arial" w:hAnsi="Arial" w:cs="Arial"/>
          <w:sz w:val="18"/>
          <w:szCs w:val="18"/>
        </w:rPr>
        <w:t xml:space="preserve"> </w:t>
      </w:r>
      <w:r w:rsidRPr="00FA0EE5">
        <w:rPr>
          <w:rFonts w:ascii="Arial" w:hAnsi="Arial" w:cs="Arial"/>
          <w:sz w:val="18"/>
          <w:szCs w:val="18"/>
        </w:rPr>
        <w:t>z hašení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znečištěná tímto materiálem musí být shromážděna a nesmí být vypuštěna do žádného </w:t>
      </w:r>
      <w:r w:rsidR="001B53B7" w:rsidRPr="00FA0EE5">
        <w:rPr>
          <w:rFonts w:ascii="Arial" w:hAnsi="Arial" w:cs="Arial"/>
          <w:sz w:val="18"/>
          <w:szCs w:val="18"/>
        </w:rPr>
        <w:t xml:space="preserve"> </w:t>
      </w:r>
      <w:r w:rsidRPr="00FA0EE5">
        <w:rPr>
          <w:rFonts w:ascii="Arial" w:hAnsi="Arial" w:cs="Arial"/>
          <w:sz w:val="18"/>
          <w:szCs w:val="18"/>
        </w:rPr>
        <w:t>vodníh</w:t>
      </w:r>
      <w:r w:rsidR="001B53B7" w:rsidRPr="00FA0EE5">
        <w:rPr>
          <w:rFonts w:ascii="Arial" w:hAnsi="Arial" w:cs="Arial"/>
          <w:sz w:val="18"/>
          <w:szCs w:val="18"/>
        </w:rPr>
        <w:t xml:space="preserve">o toku, splaškové nebo srážkové </w:t>
      </w:r>
      <w:r w:rsidRPr="00FA0EE5">
        <w:rPr>
          <w:rFonts w:ascii="Arial" w:hAnsi="Arial" w:cs="Arial"/>
          <w:sz w:val="18"/>
          <w:szCs w:val="18"/>
        </w:rPr>
        <w:t xml:space="preserve">kanalizace. </w:t>
      </w:r>
    </w:p>
    <w:p w:rsidR="00827EC2" w:rsidRPr="00FA0EE5" w:rsidRDefault="00827EC2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>5.3 Pokyny pro hasiče</w:t>
      </w:r>
      <w:r w:rsidRPr="00FA0EE5">
        <w:rPr>
          <w:rFonts w:ascii="Arial" w:hAnsi="Arial" w:cs="Arial"/>
          <w:sz w:val="18"/>
          <w:szCs w:val="18"/>
        </w:rPr>
        <w:t xml:space="preserve">: Používat izolovaný dýchací přístroj, nehořlavý zásahový oděv a osobní </w:t>
      </w:r>
      <w:r w:rsidR="001B53B7" w:rsidRPr="00FA0EE5">
        <w:rPr>
          <w:rFonts w:ascii="Arial" w:hAnsi="Arial" w:cs="Arial"/>
          <w:sz w:val="18"/>
          <w:szCs w:val="18"/>
        </w:rPr>
        <w:t>ochranné prostředky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6: OPATŘENÍ V PŘÍPADĚ NÁHODNÉHO ÚNIKU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6.1 Opatření na ochranu osob, ochranné prostředky a nouzové postupy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6.1.1 Pro pracovníky kromě pracovníků zasahujících v případě nouze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Vykázat z místa všechny osoby, které se nepodílejí na záchranných pracích. Vyloučit přímý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kontakt s očima, pokožkou, oděvem. Používat osobní ochranné pracovní prostředky, uvedené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oddíle 8. Nevdechovat výpary a zplodiny uvolňované z přehřátého produktu. K ochraně použít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masku s filtrem proti organickým parám, např. MOLDEX A1 B1 E1 K1 8900. Při obsahu kyslíku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atmosféře pod 18 % použít dýchací přístroj.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6.1.2 Pro pracovníky zasahujících v případě nouze: </w:t>
      </w:r>
      <w:r w:rsidRPr="00FA0EE5">
        <w:rPr>
          <w:rFonts w:ascii="Arial" w:hAnsi="Arial" w:cs="Arial"/>
          <w:sz w:val="18"/>
          <w:szCs w:val="18"/>
        </w:rPr>
        <w:t xml:space="preserve">Používat osobní ochranné pracovní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prostředky, uvedené v oddíle 8.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6.2 Opatření na ochranu životního prostředí: </w:t>
      </w:r>
      <w:r w:rsidRPr="00FA0EE5">
        <w:rPr>
          <w:rFonts w:ascii="Arial" w:hAnsi="Arial" w:cs="Arial"/>
          <w:sz w:val="18"/>
          <w:szCs w:val="18"/>
        </w:rPr>
        <w:t xml:space="preserve">Zamezit únikům do vodních toků a půdy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6.3 Metody a materiál pro omezení úniku a pro čištění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lastRenderedPageBreak/>
        <w:t xml:space="preserve">6.3.1 </w:t>
      </w:r>
      <w:r w:rsidRPr="00FA0EE5">
        <w:rPr>
          <w:rFonts w:ascii="Arial" w:hAnsi="Arial" w:cs="Arial"/>
          <w:sz w:val="18"/>
          <w:szCs w:val="18"/>
        </w:rPr>
        <w:t xml:space="preserve">V případě náhodného rozlití zakrýt kanalizační vpusť.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6.3.2 </w:t>
      </w:r>
      <w:r w:rsidRPr="00FA0EE5">
        <w:rPr>
          <w:rFonts w:ascii="Arial" w:hAnsi="Arial" w:cs="Arial"/>
          <w:sz w:val="18"/>
          <w:szCs w:val="18"/>
        </w:rPr>
        <w:t>Větší množství lze odčerpat do nádob. Posypat absorpční látkou (</w:t>
      </w:r>
      <w:proofErr w:type="spellStart"/>
      <w:r w:rsidRPr="00FA0EE5">
        <w:rPr>
          <w:rFonts w:ascii="Arial" w:hAnsi="Arial" w:cs="Arial"/>
          <w:sz w:val="18"/>
          <w:szCs w:val="18"/>
        </w:rPr>
        <w:t>vapex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písek, křemelina)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a likvidovat předepsaným způsobem.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6.3.3 </w:t>
      </w:r>
      <w:r w:rsidRPr="00FA0EE5">
        <w:rPr>
          <w:rFonts w:ascii="Arial" w:hAnsi="Arial" w:cs="Arial"/>
          <w:sz w:val="18"/>
          <w:szCs w:val="18"/>
        </w:rPr>
        <w:t xml:space="preserve">Další informace: Bez dalších informací 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6.4 Odkaz na jiné oddíly: </w:t>
      </w:r>
      <w:r w:rsidRPr="00FA0EE5">
        <w:rPr>
          <w:rFonts w:ascii="Arial" w:hAnsi="Arial" w:cs="Arial"/>
          <w:sz w:val="18"/>
          <w:szCs w:val="18"/>
        </w:rPr>
        <w:t xml:space="preserve">Další informace viz oddíl 8 a 13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7: ZACHÁZENÍ A SKLADOVÁNÍ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Oddíl 7: ZACHÁZENÍ A SKLADOVÁNÍ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7.1 Opatření pro bezpečné zacházení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7.1.1 Zajistit dobré větrání pracovního prostoru, zamezit styku s kůží a očima. Obal skladovat dobře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Uzavřený. Manipulaci provádět tak, aby nedocházelo k únikům a úkapům.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7.1.2 Při práci s látkou nejíst, nepít, nekouřit. Po práci umýt ruce a před vstupem do prostor pro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stravování odložit znečištěný oděv a ochranné prostředky.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7.2 Podmínky pro bezpečné skladování látek a směsí včetně neslučitelných látek a směsí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Chránit před povětrnostními vlivy. Skladovat v uzavřených obalech. Neskladovat na přímém slunci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ani v blízkosti zdrojů tepla. Doporučená teplota skladování +o až +40 </w:t>
      </w:r>
      <w:proofErr w:type="spellStart"/>
      <w:r w:rsidRPr="00FA0EE5">
        <w:rPr>
          <w:rFonts w:ascii="Arial" w:hAnsi="Arial" w:cs="Arial"/>
          <w:sz w:val="18"/>
          <w:szCs w:val="18"/>
        </w:rPr>
        <w:t>oC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. </w:t>
      </w:r>
    </w:p>
    <w:p w:rsidR="001B53B7" w:rsidRPr="00FA0EE5" w:rsidRDefault="001B53B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Typ materiálu použitého na balení a obaly: </w:t>
      </w:r>
      <w:proofErr w:type="spellStart"/>
      <w:r w:rsidRPr="00FA0EE5">
        <w:rPr>
          <w:rFonts w:ascii="Arial" w:hAnsi="Arial" w:cs="Arial"/>
          <w:sz w:val="18"/>
          <w:szCs w:val="18"/>
        </w:rPr>
        <w:t>Polyethylén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jiné plasty, sklo apod. 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7.3 Specifické konečné/specifická konečná použití: </w:t>
      </w:r>
      <w:r w:rsidRPr="00FA0EE5">
        <w:rPr>
          <w:rFonts w:ascii="Arial" w:hAnsi="Arial" w:cs="Arial"/>
          <w:sz w:val="18"/>
          <w:szCs w:val="18"/>
        </w:rPr>
        <w:t xml:space="preserve">Povrchově aktivní látka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8: OMEZOVÁNÍ EXPOZICE / OSOBNÍ OCHRANNÉ PROSTŘEDKY</w:t>
      </w:r>
    </w:p>
    <w:p w:rsidR="001B53B7" w:rsidRPr="00FA0EE5" w:rsidRDefault="001B53B7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8.1 Kontrolní parametry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8.1.1 </w:t>
      </w:r>
      <w:r w:rsidRPr="00FA0EE5">
        <w:rPr>
          <w:rFonts w:ascii="Arial" w:hAnsi="Arial" w:cs="Arial"/>
          <w:sz w:val="18"/>
          <w:szCs w:val="18"/>
        </w:rPr>
        <w:t xml:space="preserve">Limitní hodnoty expozice (dle Nařízení vlády č. 361/2007 Sb.): Nejsou stanoveny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8.1.2 </w:t>
      </w:r>
      <w:r w:rsidRPr="00FA0EE5">
        <w:rPr>
          <w:rFonts w:ascii="Arial" w:hAnsi="Arial" w:cs="Arial"/>
          <w:sz w:val="18"/>
          <w:szCs w:val="18"/>
        </w:rPr>
        <w:t xml:space="preserve">Sledovací postupy: Nejsou stanoveny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 Omezování expozice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8.2.1 Vhodné technické kontroly: </w:t>
      </w:r>
      <w:r w:rsidRPr="00FA0EE5">
        <w:rPr>
          <w:rFonts w:ascii="Arial" w:hAnsi="Arial" w:cs="Arial"/>
          <w:sz w:val="18"/>
          <w:szCs w:val="18"/>
        </w:rPr>
        <w:t xml:space="preserve">Kontrola těsnosti obalů, kontrola úniků a úkapů a jejich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zamezení.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8.2.2 Individuální ochranná opatření včetně osobních ochranných prostředků: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Zabránit vniknutí látky do očí, úst, potřísnění kůže. Při práci nejíst, nepít, nekouřit. Zabránit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styku látky s potravinami a nápoji, po práci umýt ruce mýdlem a vodou a ošetřit reparačním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krémem.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8.2.2.1 a) Ochrana očí a obličeje: </w:t>
      </w:r>
      <w:r w:rsidRPr="00FA0EE5">
        <w:rPr>
          <w:rFonts w:ascii="Arial" w:hAnsi="Arial" w:cs="Arial"/>
          <w:sz w:val="18"/>
          <w:szCs w:val="18"/>
        </w:rPr>
        <w:t xml:space="preserve">ochranné brýle se stranicemi/uzavřené brýle/ochranný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obličejový štít podle ČSN EN 166:2002 (83 2401) Osobní prostředky k ochraně očí.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Základní ustanovení, která byla vydána v říjnu 2002.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sz w:val="18"/>
          <w:szCs w:val="18"/>
        </w:rPr>
        <w:t>b) Ochrana kůže</w:t>
      </w:r>
      <w:r w:rsidRPr="00FA0EE5">
        <w:rPr>
          <w:rFonts w:ascii="Arial" w:hAnsi="Arial" w:cs="Arial"/>
          <w:sz w:val="18"/>
          <w:szCs w:val="18"/>
        </w:rPr>
        <w:t xml:space="preserve">: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i) Ochrana rukou: </w:t>
      </w:r>
      <w:r w:rsidRPr="00FA0EE5">
        <w:rPr>
          <w:rFonts w:ascii="Arial" w:hAnsi="Arial" w:cs="Arial"/>
          <w:sz w:val="18"/>
          <w:szCs w:val="18"/>
        </w:rPr>
        <w:t xml:space="preserve">Vhodné ochranné rukavice (např. nitrilové &gt; 0,45 mm - čas </w:t>
      </w:r>
      <w:proofErr w:type="spellStart"/>
      <w:r w:rsidRPr="00FA0EE5">
        <w:rPr>
          <w:rFonts w:ascii="Arial" w:hAnsi="Arial" w:cs="Arial"/>
          <w:sz w:val="18"/>
          <w:szCs w:val="18"/>
        </w:rPr>
        <w:t>permeace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&gt; 30 min nebo </w:t>
      </w:r>
      <w:proofErr w:type="spellStart"/>
      <w:r w:rsidRPr="00FA0EE5">
        <w:rPr>
          <w:rFonts w:ascii="Arial" w:hAnsi="Arial" w:cs="Arial"/>
          <w:sz w:val="18"/>
          <w:szCs w:val="18"/>
        </w:rPr>
        <w:t>fluoropolymerové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a PVA každé tloušťky - čas </w:t>
      </w:r>
      <w:proofErr w:type="spellStart"/>
      <w:r w:rsidRPr="00FA0EE5">
        <w:rPr>
          <w:rFonts w:ascii="Arial" w:hAnsi="Arial" w:cs="Arial"/>
          <w:sz w:val="18"/>
          <w:szCs w:val="18"/>
        </w:rPr>
        <w:t>permeace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&gt; 480 min.),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označené piktogramem pro chemická nebezpečí podle Přílohy C k ČSN EN 420:2004 (83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2300) – Ochranné rukavice. Všeobecné požadavky a metody zkoušení, která byla vydána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v červnu 2004, současně s uvedeným kódem podle Přílohy A k ČSN EN 374-1:2004 (83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2310) Ochranné rukavice proti chemikáliím a mikroorganismům.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Část 1: Terminologie a požadavky na provedení, která byla vydána v květnu 2004. Rukavice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musí být zkoušeny podle výše uvedené ČSN EN 420 popř. podle ČSN EN 374-3:2004 (83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2310) Ochranné rukavice proti chemikáliím a mikroorganismům. Část 3: Stanovení odolnosti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proti </w:t>
      </w:r>
      <w:proofErr w:type="spellStart"/>
      <w:r w:rsidRPr="00FA0EE5">
        <w:rPr>
          <w:rFonts w:ascii="Arial" w:hAnsi="Arial" w:cs="Arial"/>
          <w:sz w:val="18"/>
          <w:szCs w:val="18"/>
        </w:rPr>
        <w:t>permeaci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chemikálií, která byla vydána v květnu 2004. Při poškození je třeba rukavice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ihned vyměnit.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FA0EE5">
        <w:rPr>
          <w:rFonts w:ascii="Arial" w:hAnsi="Arial" w:cs="Arial"/>
          <w:b/>
          <w:bCs/>
          <w:sz w:val="18"/>
          <w:szCs w:val="18"/>
        </w:rPr>
        <w:t>ii</w:t>
      </w:r>
      <w:proofErr w:type="spellEnd"/>
      <w:r w:rsidRPr="00FA0EE5">
        <w:rPr>
          <w:rFonts w:ascii="Arial" w:hAnsi="Arial" w:cs="Arial"/>
          <w:b/>
          <w:bCs/>
          <w:sz w:val="18"/>
          <w:szCs w:val="18"/>
        </w:rPr>
        <w:t xml:space="preserve">) Jiná ochrana: </w:t>
      </w:r>
      <w:r w:rsidRPr="00FA0EE5">
        <w:rPr>
          <w:rFonts w:ascii="Arial" w:hAnsi="Arial" w:cs="Arial"/>
          <w:sz w:val="18"/>
          <w:szCs w:val="18"/>
        </w:rPr>
        <w:t xml:space="preserve">Vhodný pracovní oděv a obuv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lastRenderedPageBreak/>
        <w:t xml:space="preserve">c) Ochrana dýchacích cest: </w:t>
      </w:r>
      <w:r w:rsidRPr="00FA0EE5">
        <w:rPr>
          <w:rFonts w:ascii="Arial" w:hAnsi="Arial" w:cs="Arial"/>
          <w:sz w:val="18"/>
          <w:szCs w:val="18"/>
        </w:rPr>
        <w:t xml:space="preserve">Větrání, případně použít masku s filtrem proti organickým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parám např. MOLDEX A1 B1 E1 K1 8900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d) Tepelné nebezpečí: </w:t>
      </w:r>
      <w:r w:rsidRPr="00FA0EE5">
        <w:rPr>
          <w:rFonts w:ascii="Arial" w:hAnsi="Arial" w:cs="Arial"/>
          <w:sz w:val="18"/>
          <w:szCs w:val="18"/>
        </w:rPr>
        <w:t xml:space="preserve">Z manipulace s látkou nevyplývá žádné tepelné nebezpečí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8.2.3 Omezování expozice životního prostředí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Zabránit únikům zbytků látky do kanalizace, vodních toků a půdy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9: FYZIKÁLNÍ A CHEMICKÉ VLASTNOSTI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9.1 Informace o základních fyzikálních a chemických vlastnostech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a) Vzhled: Modrá kapalina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b) Zápach nebo vůně: dle použitého parfému – kořeněná/květinová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c) Prahová hodnota zápachu: Není stanovena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d) pH (při 20 </w:t>
      </w:r>
      <w:proofErr w:type="spellStart"/>
      <w:r w:rsidRPr="00FA0EE5">
        <w:rPr>
          <w:rFonts w:ascii="Arial" w:hAnsi="Arial" w:cs="Arial"/>
          <w:sz w:val="18"/>
          <w:szCs w:val="18"/>
        </w:rPr>
        <w:t>oC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, 1 % vodný roztok): 6 až 8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e) Bod tání/bod tuhnutí (°C): -3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f) Počáteční bod varu a rozmezí bodu varu: 102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g) Bod vzplanutí (°C):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h) Rychlost odpařování: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i) Hořlavost (pevné látky, plyny): Nestanovuje se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j) Horní/dolní mezní hodnoty hořlavosti nebo výbušnosti: Nehořlavá kapalina, vodný roztok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k) Tlak páry: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l) Hustota páry: Nestanoveno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m) Relativní hustota (při 20 °C): cca 990 kg.m-3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n) Rozpustnost ve vodě: Neomezeně mísitelný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o) Rozdělovací koeficient: n-</w:t>
      </w:r>
      <w:proofErr w:type="spellStart"/>
      <w:r w:rsidRPr="00FA0EE5">
        <w:rPr>
          <w:rFonts w:ascii="Arial" w:hAnsi="Arial" w:cs="Arial"/>
          <w:sz w:val="18"/>
          <w:szCs w:val="18"/>
        </w:rPr>
        <w:t>oktanol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/voda: 0,5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p) Teplota samovznícení: Nestanovuje se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q) Teplota rozkladu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r) Viskozita (20 °C): &lt; 50 </w:t>
      </w:r>
      <w:proofErr w:type="spellStart"/>
      <w:proofErr w:type="gramStart"/>
      <w:r w:rsidRPr="00FA0EE5">
        <w:rPr>
          <w:rFonts w:ascii="Arial" w:hAnsi="Arial" w:cs="Arial"/>
          <w:sz w:val="18"/>
          <w:szCs w:val="18"/>
        </w:rPr>
        <w:t>mPa.s</w:t>
      </w:r>
      <w:proofErr w:type="spellEnd"/>
      <w:proofErr w:type="gramEnd"/>
      <w:r w:rsidRPr="00FA0EE5">
        <w:rPr>
          <w:rFonts w:ascii="Arial" w:hAnsi="Arial" w:cs="Arial"/>
          <w:sz w:val="18"/>
          <w:szCs w:val="18"/>
        </w:rPr>
        <w:t xml:space="preserve">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s) Výbušné vlastnosti: Látka není výbušná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t) Oxidační vlastnosti: Nemá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9.2 Další informace: </w:t>
      </w:r>
      <w:r w:rsidRPr="00FA0EE5">
        <w:rPr>
          <w:rFonts w:ascii="Arial" w:hAnsi="Arial" w:cs="Arial"/>
          <w:sz w:val="18"/>
          <w:szCs w:val="18"/>
        </w:rPr>
        <w:t xml:space="preserve">Bez dalších informací </w:t>
      </w:r>
    </w:p>
    <w:p w:rsidR="00C34B5B" w:rsidRPr="00FA0EE5" w:rsidRDefault="00C34B5B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FF"/>
          <w:sz w:val="18"/>
          <w:szCs w:val="18"/>
        </w:rPr>
      </w:pP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10: STÁLOST A REAKTIVITA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10.1 Reaktivita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10.1.1 Nejsou známy nebezpečné reakce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10.1.2 Nepůsobí korozi kovů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10.2 Chemická stabilita: </w:t>
      </w:r>
      <w:r w:rsidRPr="00FA0EE5">
        <w:rPr>
          <w:rFonts w:ascii="Arial" w:hAnsi="Arial" w:cs="Arial"/>
          <w:sz w:val="18"/>
          <w:szCs w:val="18"/>
        </w:rPr>
        <w:t xml:space="preserve">Za normálních podmínek je látka stabilní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10.3 Možnost nebezpečných reakcí: </w:t>
      </w:r>
      <w:r w:rsidRPr="00FA0EE5">
        <w:rPr>
          <w:rFonts w:ascii="Arial" w:hAnsi="Arial" w:cs="Arial"/>
          <w:sz w:val="18"/>
          <w:szCs w:val="18"/>
        </w:rPr>
        <w:t xml:space="preserve">Nejsou známy nebezpečné reakce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10.4 Podmínky, kterým je třeba zabránit: </w:t>
      </w:r>
      <w:r w:rsidRPr="00FA0EE5">
        <w:rPr>
          <w:rFonts w:ascii="Arial" w:hAnsi="Arial" w:cs="Arial"/>
          <w:sz w:val="18"/>
          <w:szCs w:val="18"/>
        </w:rPr>
        <w:t xml:space="preserve">Teplota nad 70 °C – může dojít k rozkladu látky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10.5 Neslučitelné materiály: </w:t>
      </w:r>
      <w:r w:rsidRPr="00FA0EE5">
        <w:rPr>
          <w:rFonts w:ascii="Arial" w:hAnsi="Arial" w:cs="Arial"/>
          <w:sz w:val="18"/>
          <w:szCs w:val="18"/>
        </w:rPr>
        <w:t xml:space="preserve">Oxidační látky, silné koncentrované kyseliny, koncentrované alkálie </w:t>
      </w:r>
    </w:p>
    <w:p w:rsidR="00B568A7" w:rsidRPr="00FA0EE5" w:rsidRDefault="00B568A7" w:rsidP="00FA0EE5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b/>
          <w:bCs/>
          <w:sz w:val="18"/>
          <w:szCs w:val="18"/>
        </w:rPr>
        <w:t xml:space="preserve">10.6 Nebezpečné produkty rozkladu: </w:t>
      </w:r>
      <w:r w:rsidRPr="00FA0EE5">
        <w:rPr>
          <w:rFonts w:ascii="Arial" w:hAnsi="Arial" w:cs="Arial"/>
          <w:sz w:val="18"/>
          <w:szCs w:val="18"/>
        </w:rPr>
        <w:t xml:space="preserve">Za normálních podmínek se přípravek nerozkládá. Při </w:t>
      </w:r>
    </w:p>
    <w:p w:rsidR="00B568A7" w:rsidRPr="00FA0EE5" w:rsidRDefault="00B568A7" w:rsidP="00FA0EE5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A0EE5">
        <w:rPr>
          <w:rFonts w:ascii="Arial" w:hAnsi="Arial" w:cs="Arial"/>
          <w:sz w:val="18"/>
          <w:szCs w:val="18"/>
        </w:rPr>
        <w:t>termickém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rozkladu se uvolňují oxidy uhlíku, oxidy dusíku, oxidy chlóru a páry aminu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11: TOXIKOLOGICKÉ INFORMACE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 Informace o toxikologických účincích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11.1.1 Látky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11.1.1.1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a) Akutní toxicita (literární údaje)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lastRenderedPageBreak/>
        <w:t xml:space="preserve">LD50, orálně, myš (mg.kg-1): 200 až 2000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LD50, dermálně, potkan nebo králík (mg.kg-1): 800 až 1420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LD50, inhalačně, potkan, pro aerosoly nebo částice (mg.kg-1): Nestanoveno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LD50, inhalačně, potkan, pro plyny a páry (mg.kg-1): Nestanoveno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b) Žíravost/dráždivost pro kůži: Velmi nebezpečný v případě kontaktu s pokožkou (žíravý)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c) Vážné poškození/podráždění očí: Způsobuje vážné poškození očí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d) Senzibilizace dýchacích cest/senzibilizace kůže: Nejsou udávány senzibilizační účinky.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e) Mutagenita v zárodečných buňkách: Nejsou udávány mutagenní účinky.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f)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Karcinogenita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: Nejsou udávány karcinogenní účinky.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g) Toxicita pro reprodukci: Podle dostupných údajů není toxický pro reprodukci.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h) Toxicita pro specifické cílové orgány – jednorázová expozice: Není toxický pro specifické cílové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orgány při jednorázové expozici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i) Toxicita pro specifické cílové orgány – opakovaná expozice: Není toxický pro specifické cílové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orgány při opakované expozici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j) Nebezpečnost při vdechnutí: Látka nepředstavuje akutní nebezpečí při vdechnutí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11.1.1.2 Další údaje: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Bez dalších údajů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12: EKOLOGICKÉ INFORMACE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Oddíl 12. EKOLOGICKÉ INFORMACE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12.1 Toxicita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Akutní toxicita pro vodní organismy (literární údaje)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LC50, 96 hod., ryby (mg/l): 0,85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EC50, 48 hod., dafnie (mg/l): 0,02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IC50, 96 hod., řasy (mg/l): 0,06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IC50, 96 hod., bakterie (mg/l): 11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12.2 Perzistence a rozložitelnost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Povrchově aktivní látka je v souladu s kriterii biodegradability podle Nařízení Evropského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parlamentu a Rady (ES) č. 648/2004 ze dne 31. března 2004 o detergentech. Údaje potvrzující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toto prohlášení jsou k dispozici kompetentním institucím členských států Unie na jejich přímou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žádost, nebo na žádost výrobce detergentu.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Nedoporučuje se vypouštění přes biologickou čistírnu odpadních vod, jelikož látka se sorbuje </w:t>
      </w:r>
      <w:proofErr w:type="gram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na</w:t>
      </w:r>
      <w:proofErr w:type="gram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aktivní kal (usmrcuje biomasu).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12.3 </w:t>
      </w:r>
      <w:proofErr w:type="spellStart"/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Bioakumulační</w:t>
      </w:r>
      <w:proofErr w:type="spellEnd"/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 potenciál: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Není předpoklad pro akumulaci látky v organismech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12.4 Mobilita v půdě: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Údaje o mobilitě nejsou známy. Fyzikálně chemické vlastnosti jsou uvedeny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v bodě 9.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12.5 Výsledky posouzení PBT a </w:t>
      </w:r>
      <w:proofErr w:type="spellStart"/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vPvB</w:t>
      </w:r>
      <w:proofErr w:type="spellEnd"/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Není zařazeno jako PBT a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PvB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12.6 Jiné nepříznivé účinky: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Neuvádí se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13: POKYNY PRO ODSTRAŇOVÁNÍ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13.1 Metody nakládání s odpady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Při zneškodňování musí být dodrženy platné předpisy pro nakládání s odpady podle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katego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rizace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a katalogu odpadů. Zbytky přípravku lze vysrážet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anionaktivním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tenzidem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a vzniklou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sraženinu po odfiltrování deponovat na skládce průmyslového odpadu po dohodě s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provo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zovatelem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skládky.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Způsoby zneškodňování kontaminovaného obalu: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Postupovat stejným způsobem jako při likvidaci produktu.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Obaly lze vymývat vodou, nedoporučuje se likvidace přes biologickou čistírnu odpadních vod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(usmrcuje biomasu). Po dokonalém vyprázdnění lze obal využít jako druhotnou surovinu.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lastRenderedPageBreak/>
        <w:t xml:space="preserve">13.2 Právní předpisy o odpadech: </w:t>
      </w: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Zákon č. 185/2001 Sb., o odpadech ve znění pozdějších předpisů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14: INFORMACE PRO PŘEPRAVU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14.1 Číslo OSN: 1760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14.2. Příslušný název OSN pro zásilku: Látka žíravá, kapalná </w:t>
      </w:r>
      <w:proofErr w:type="gram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J.N.</w:t>
      </w:r>
      <w:proofErr w:type="gram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(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Benzalkonium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chlorid, vodný roztok)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14.3. Třída/třídy nebezpečnosti pro přepravu: 8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14.4 Obalová skupina: II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14.5 Nebezpečnost pro životní prostředí: Vysoce toxický pro vodní organismy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14.6. Zvláštní bezpečnostní opatření pro uživatele: -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FF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14.7 Hromadná přeprava podle přílohy II MARPOL a předpisu IBC: -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15: INFORMACE O PRÁVNÍCH PŘEDPISECH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15.1 Nařízení týkající se bezpečnosti, zdraví, a životního prostředí/specifické právní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color w:val="000000"/>
          <w:kern w:val="0"/>
          <w:sz w:val="18"/>
          <w:szCs w:val="18"/>
        </w:rPr>
        <w:t xml:space="preserve">předpisy týkající se látky nebo směsi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Evropského parlamentu a rady (ES) č. 1272/2008 ze dne 16. Prosince 2008 o klasifikaci,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označování a balení látek a o změně nařízení (ES) č. 1907/2006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Komise (EU) č. 453/2010, kterým se mění nařízení Evropského parlamentu a rady (ES)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č. 1907/2006 o registraci, hodnocení, povolování a omezování chemických látek (REACH)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Zákon č. 258/2000 Sb. o ochraně veřejného zdraví ve znění souvisejících předpisů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vlády 361/2007 Sb., kterým se stanoví podmínky ochrany zdraví při práci.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Zákon č. 350/2011 Sb. o chemických látkách a chemických směsích a o změně některých zákonů </w:t>
      </w:r>
    </w:p>
    <w:p w:rsidR="00C30473" w:rsidRPr="00FA0EE5" w:rsidRDefault="00C3047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Nařízení Evropského parlamentu a Rady (ES) č. 648/2004 ze dne 31. března 2004 o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detergen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</w:t>
      </w:r>
    </w:p>
    <w:p w:rsidR="00C30473" w:rsidRPr="00FA0EE5" w:rsidRDefault="00C3047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FF"/>
          <w:sz w:val="18"/>
          <w:szCs w:val="18"/>
        </w:rPr>
      </w:pP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tech</w:t>
      </w:r>
      <w:proofErr w:type="spellEnd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. </w:t>
      </w:r>
    </w:p>
    <w:p w:rsidR="00C34B5B" w:rsidRPr="00FA0EE5" w:rsidRDefault="00C34B5B" w:rsidP="00F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 w:rsidRPr="00FA0EE5">
        <w:rPr>
          <w:rFonts w:ascii="Arial" w:eastAsia="Arial" w:hAnsi="Arial" w:cs="Arial"/>
          <w:b/>
          <w:bCs/>
          <w:color w:val="0000FF"/>
          <w:sz w:val="28"/>
          <w:szCs w:val="28"/>
        </w:rPr>
        <w:t>ODDÍL 16: DALŠÍ INFORMACE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16.1 Seznam H-vět (úplné znění), uvedených v oddíle 2 a 3 tohoto bezpečnostního listu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H314 Způsobuje těžké poleptání kůže a poškození očí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H312 Zdraví škodlivý při styku s kůží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H302 Zdraví škodlivý při požití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H400 Vysoce toxický pro vodní organismy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Seznam R-vět (úplné znění), uvedených v oddíle 2 a 3 tohoto bezpečnostního listu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R 34 Způsobuje poleptání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R 21/22 Zdraví škodlivý při styku s kůží a při požití </w:t>
      </w:r>
    </w:p>
    <w:p w:rsidR="00A90FB3" w:rsidRDefault="00FA0EE5" w:rsidP="00FA0EE5">
      <w:pPr>
        <w:autoSpaceDE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R 51 T</w:t>
      </w:r>
      <w:r w:rsidR="00A90FB3"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oxický pro vodní organismy </w:t>
      </w:r>
    </w:p>
    <w:p w:rsidR="00BF52AD" w:rsidRPr="00FA0EE5" w:rsidRDefault="00BF52AD" w:rsidP="00BF52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Seznam S</w:t>
      </w: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-vět (úplné znění), uvedených v oddíle 2 a 3 tohoto bezpečnostního listu </w:t>
      </w:r>
    </w:p>
    <w:p w:rsidR="00BF52AD" w:rsidRPr="00FA0EE5" w:rsidRDefault="00BF52AD" w:rsidP="00BF52AD">
      <w:pPr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 xml:space="preserve">S1 Uchovávejte uzamčené 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Times New Roman" w:hAnsi="Arial" w:cs="Arial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kern w:val="0"/>
          <w:sz w:val="18"/>
          <w:szCs w:val="18"/>
        </w:rPr>
        <w:t>S2 Uchovávejte mimo dosah dětí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S26 Při zasažení očí okamžitě důkladně vypláchněte vodou a vyhledejte lékařskou pomoc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S36/37/39 Používejte vhodný ochranný oděv, ochranné rukavice a ochranné brýle nebo obličejový štít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S45 V případě nehody, nebo necítíte-li se dobře, okamžitě vyhledejte lékařskou pomoc 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S60: Tento materiál a jeho obal musí být zneškodněny jako nebezpečný odpad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S61: Zabraňte uvolnění do životního prostředí. Viz speciální pokyny nebo bezpečnostní listy</w:t>
      </w:r>
    </w:p>
    <w:p w:rsidR="00BF52AD" w:rsidRPr="00BF52AD" w:rsidRDefault="00BF52AD" w:rsidP="00BF52A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Seznam P</w:t>
      </w: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-vět (úplné znění), uvedených v oddíle 2 a 3 tohoto bezpečnostního listu 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>P264 Po manipulaci důkladně omyjte vodou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>P273 Zabraňte uvolnění do životního prostředí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eastAsia="Arial" w:hAnsi="Arial" w:cs="Arial"/>
          <w:bCs/>
          <w:color w:val="000000"/>
          <w:sz w:val="18"/>
          <w:szCs w:val="18"/>
        </w:rPr>
        <w:t xml:space="preserve">P280 </w:t>
      </w:r>
      <w:r w:rsidRPr="00FA0EE5">
        <w:rPr>
          <w:rFonts w:ascii="Arial" w:hAnsi="Arial" w:cs="Arial"/>
          <w:sz w:val="18"/>
          <w:szCs w:val="18"/>
        </w:rPr>
        <w:t>Používejte ochranné rukavice/ochranný oděv/ochranné brýle/obličejový štít.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Arial" w:hAnsi="Arial" w:cs="Arial"/>
          <w:b/>
          <w:bCs/>
          <w:color w:val="000000"/>
          <w:sz w:val="18"/>
          <w:szCs w:val="18"/>
        </w:rPr>
        <w:t>Pokyn pro bezpečné zacházení – reakce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P301+P330+P331+P315 Při požití vypláchněte ústa, nevyvolávejte </w:t>
      </w:r>
      <w:proofErr w:type="gramStart"/>
      <w:r w:rsidRPr="00FA0EE5">
        <w:rPr>
          <w:rFonts w:ascii="Arial" w:hAnsi="Arial" w:cs="Arial"/>
          <w:sz w:val="18"/>
          <w:szCs w:val="18"/>
        </w:rPr>
        <w:t>zvracení  a okamžitě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vyhledejte lékaře.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lastRenderedPageBreak/>
        <w:t xml:space="preserve">P303+P361+P353 Při styku s kůží (nebo s vlasy) Veškeré kontaminované části oděvu okamžitě 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svlékněte. Opláchněte kůži vodou/osprchujte 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P305+P351+P338+P315 Při zasažení očí několik minut oplachujte vodou. Vyjměte kontaktní čočky, jsou-li </w:t>
      </w:r>
    </w:p>
    <w:p w:rsidR="00BF52AD" w:rsidRPr="00FA0EE5" w:rsidRDefault="00BF52AD" w:rsidP="00BF52AD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A0EE5">
        <w:rPr>
          <w:rFonts w:ascii="Arial" w:hAnsi="Arial" w:cs="Arial"/>
          <w:sz w:val="18"/>
          <w:szCs w:val="18"/>
        </w:rPr>
        <w:t>nasazeny a pokud</w:t>
      </w:r>
      <w:proofErr w:type="gramEnd"/>
      <w:r w:rsidRPr="00FA0EE5">
        <w:rPr>
          <w:rFonts w:ascii="Arial" w:hAnsi="Arial" w:cs="Arial"/>
          <w:sz w:val="18"/>
          <w:szCs w:val="18"/>
        </w:rPr>
        <w:t xml:space="preserve"> je lze vyjmout snadno. Pokračujte ve vyplachování. Poté ihned </w:t>
      </w:r>
      <w:proofErr w:type="spellStart"/>
      <w:r w:rsidRPr="00FA0EE5">
        <w:rPr>
          <w:rFonts w:ascii="Arial" w:hAnsi="Arial" w:cs="Arial"/>
          <w:sz w:val="18"/>
          <w:szCs w:val="18"/>
        </w:rPr>
        <w:t>vyhledte</w:t>
      </w:r>
      <w:proofErr w:type="spellEnd"/>
      <w:r w:rsidRPr="00FA0EE5">
        <w:rPr>
          <w:rFonts w:ascii="Arial" w:hAnsi="Arial" w:cs="Arial"/>
          <w:sz w:val="18"/>
          <w:szCs w:val="18"/>
        </w:rPr>
        <w:t xml:space="preserve"> lékaře.</w:t>
      </w:r>
    </w:p>
    <w:p w:rsidR="00BF52AD" w:rsidRPr="00FA0EE5" w:rsidRDefault="00BF52AD" w:rsidP="00BF52AD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FA0EE5">
        <w:rPr>
          <w:rFonts w:ascii="Arial" w:hAnsi="Arial" w:cs="Arial"/>
          <w:sz w:val="18"/>
          <w:szCs w:val="18"/>
        </w:rPr>
        <w:t xml:space="preserve">P501 Odstraňte obsah/obal jako nebezpečný odpad </w:t>
      </w:r>
    </w:p>
    <w:p w:rsidR="00BF52AD" w:rsidRPr="00BF52AD" w:rsidRDefault="00BF52AD" w:rsidP="00FA0EE5">
      <w:pPr>
        <w:autoSpaceDE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16.2 Další informace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Případné další informace si vyžádejte u dodavatele: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Petr Fiala Velkoobchod s drogerií s.r.o., Hlavní 74, 362 63 </w:t>
      </w:r>
      <w:proofErr w:type="spellStart"/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>Dalovice</w:t>
      </w:r>
      <w:proofErr w:type="spellEnd"/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E-mail: petrfiala@petrfiala.cz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 xml:space="preserve">16.3 Zdroje nejdůležitějších údajů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Seznam dosud klasifikovaných nebezpečných látek. Internetové databáze chemických látek.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Bezpečnostní listy surovin.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Prohlášení výrobce: Údaje obsažené v tomto bezpečnostním listě se týkají pouze uvedeného </w:t>
      </w:r>
    </w:p>
    <w:p w:rsidR="00A90FB3" w:rsidRPr="00FA0EE5" w:rsidRDefault="00A90FB3" w:rsidP="00FA0EE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výrobku a odpovídají našim současným znalostem a zkušenostem a nemusí být vyčerpávající. </w:t>
      </w:r>
    </w:p>
    <w:p w:rsidR="00A90FB3" w:rsidRPr="00FA0EE5" w:rsidRDefault="00A90FB3" w:rsidP="00FA0EE5">
      <w:pPr>
        <w:autoSpaceDE w:val="0"/>
        <w:spacing w:line="360" w:lineRule="auto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FA0EE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Za zacházení podle existujících zákonů odpovídá uživatel. </w:t>
      </w:r>
    </w:p>
    <w:sectPr w:rsidR="00A90FB3" w:rsidRPr="00FA0EE5" w:rsidSect="00FA7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18" w:rsidRDefault="00370118">
      <w:r>
        <w:separator/>
      </w:r>
    </w:p>
  </w:endnote>
  <w:endnote w:type="continuationSeparator" w:id="0">
    <w:p w:rsidR="00370118" w:rsidRDefault="0037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04" w:rsidRDefault="009D3E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E5" w:rsidRPr="00446ED6" w:rsidRDefault="00FA0EE5">
    <w:pPr>
      <w:pStyle w:val="Zpat"/>
      <w:rPr>
        <w:rFonts w:ascii="Arial" w:eastAsia="Times New Roman" w:hAnsi="Arial" w:cs="Arial"/>
        <w:color w:val="000000"/>
        <w:kern w:val="0"/>
        <w:sz w:val="16"/>
        <w:szCs w:val="16"/>
      </w:rPr>
    </w:pPr>
    <w:r>
      <w:rPr>
        <w:rFonts w:ascii="Arial" w:eastAsia="Times New Roman" w:hAnsi="Arial" w:cs="Arial"/>
        <w:color w:val="000081"/>
        <w:kern w:val="0"/>
        <w:sz w:val="16"/>
        <w:szCs w:val="16"/>
      </w:rPr>
      <w:t xml:space="preserve">        Název výrobku: </w:t>
    </w:r>
    <w:proofErr w:type="spellStart"/>
    <w:r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>Campex</w:t>
    </w:r>
    <w:proofErr w:type="spellEnd"/>
    <w:r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 xml:space="preserve"> </w:t>
    </w:r>
    <w:proofErr w:type="gramStart"/>
    <w:r>
      <w:rPr>
        <w:rFonts w:ascii="Arial,Bold" w:eastAsia="Times New Roman" w:hAnsi="Arial,Bold" w:cs="Arial,Bold"/>
        <w:b/>
        <w:bCs/>
        <w:color w:val="000000"/>
        <w:kern w:val="0"/>
        <w:sz w:val="16"/>
        <w:szCs w:val="16"/>
      </w:rPr>
      <w:t xml:space="preserve">Originál                         </w:t>
    </w:r>
    <w:r>
      <w:rPr>
        <w:rFonts w:ascii="Arial" w:eastAsia="Times New Roman" w:hAnsi="Arial" w:cs="Arial"/>
        <w:color w:val="000081"/>
        <w:kern w:val="0"/>
        <w:sz w:val="16"/>
        <w:szCs w:val="16"/>
      </w:rPr>
      <w:t>Datum</w:t>
    </w:r>
    <w:proofErr w:type="gramEnd"/>
    <w:r>
      <w:rPr>
        <w:rFonts w:ascii="Arial" w:eastAsia="Times New Roman" w:hAnsi="Arial" w:cs="Arial"/>
        <w:color w:val="000081"/>
        <w:kern w:val="0"/>
        <w:sz w:val="16"/>
        <w:szCs w:val="16"/>
      </w:rPr>
      <w:t xml:space="preserve"> revize: </w:t>
    </w:r>
    <w:proofErr w:type="gramStart"/>
    <w:r w:rsidR="009D3E04">
      <w:rPr>
        <w:rFonts w:ascii="Arial" w:eastAsia="Times New Roman" w:hAnsi="Arial" w:cs="Arial"/>
        <w:color w:val="000000"/>
        <w:kern w:val="0"/>
        <w:sz w:val="16"/>
        <w:szCs w:val="16"/>
      </w:rPr>
      <w:t>01.11.2022</w:t>
    </w:r>
    <w:proofErr w:type="gramEnd"/>
    <w:r>
      <w:rPr>
        <w:rFonts w:ascii="Arial" w:eastAsia="Times New Roman" w:hAnsi="Arial" w:cs="Arial"/>
        <w:color w:val="000000"/>
        <w:kern w:val="0"/>
        <w:sz w:val="16"/>
        <w:szCs w:val="16"/>
      </w:rPr>
      <w:t xml:space="preserve">                               </w:t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t xml:space="preserve">Strana </w:t>
    </w:r>
    <w:r w:rsidR="00084F69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begin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instrText xml:space="preserve"> PAGE </w:instrText>
    </w:r>
    <w:r w:rsidR="00084F69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separate"/>
    </w:r>
    <w:r w:rsidR="009D3E04">
      <w:rPr>
        <w:rFonts w:ascii="Arial" w:eastAsia="Times New Roman" w:hAnsi="Arial" w:cs="Arial"/>
        <w:noProof/>
        <w:color w:val="000000"/>
        <w:kern w:val="0"/>
        <w:sz w:val="16"/>
        <w:szCs w:val="16"/>
      </w:rPr>
      <w:t>2</w:t>
    </w:r>
    <w:r w:rsidR="00084F69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end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t xml:space="preserve"> (celkem </w:t>
    </w:r>
    <w:r w:rsidR="00084F69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begin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instrText xml:space="preserve"> NUMPAGES </w:instrText>
    </w:r>
    <w:r w:rsidR="00084F69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separate"/>
    </w:r>
    <w:r w:rsidR="009D3E04">
      <w:rPr>
        <w:rFonts w:ascii="Arial" w:eastAsia="Times New Roman" w:hAnsi="Arial" w:cs="Arial"/>
        <w:noProof/>
        <w:color w:val="000000"/>
        <w:kern w:val="0"/>
        <w:sz w:val="16"/>
        <w:szCs w:val="16"/>
      </w:rPr>
      <w:t>9</w:t>
    </w:r>
    <w:r w:rsidR="00084F69" w:rsidRPr="00446ED6">
      <w:rPr>
        <w:rFonts w:ascii="Arial" w:eastAsia="Times New Roman" w:hAnsi="Arial" w:cs="Arial"/>
        <w:color w:val="000000"/>
        <w:kern w:val="0"/>
        <w:sz w:val="16"/>
        <w:szCs w:val="16"/>
      </w:rPr>
      <w:fldChar w:fldCharType="end"/>
    </w:r>
    <w:r w:rsidRPr="00446ED6">
      <w:rPr>
        <w:rFonts w:ascii="Arial" w:eastAsia="Times New Roman" w:hAnsi="Arial" w:cs="Arial"/>
        <w:color w:val="000000"/>
        <w:kern w:val="0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04" w:rsidRDefault="009D3E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18" w:rsidRDefault="00370118">
      <w:r>
        <w:separator/>
      </w:r>
    </w:p>
  </w:footnote>
  <w:footnote w:type="continuationSeparator" w:id="0">
    <w:p w:rsidR="00370118" w:rsidRDefault="0037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04" w:rsidRDefault="009D3E0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E5" w:rsidRDefault="00FA0EE5">
    <w:pPr>
      <w:pStyle w:val="Zhlav"/>
    </w:pPr>
    <w:r>
      <w:tab/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04" w:rsidRDefault="009D3E0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237B"/>
    <w:rsid w:val="0004237B"/>
    <w:rsid w:val="00084F69"/>
    <w:rsid w:val="00141D46"/>
    <w:rsid w:val="00195462"/>
    <w:rsid w:val="001B53B7"/>
    <w:rsid w:val="001E6BD4"/>
    <w:rsid w:val="002E27D4"/>
    <w:rsid w:val="00326508"/>
    <w:rsid w:val="00342AFF"/>
    <w:rsid w:val="00347A01"/>
    <w:rsid w:val="003509A9"/>
    <w:rsid w:val="0036381A"/>
    <w:rsid w:val="00363B35"/>
    <w:rsid w:val="00370118"/>
    <w:rsid w:val="00431DA8"/>
    <w:rsid w:val="00446ED6"/>
    <w:rsid w:val="005263BB"/>
    <w:rsid w:val="00594964"/>
    <w:rsid w:val="005B2ED8"/>
    <w:rsid w:val="005E2E2F"/>
    <w:rsid w:val="0068797A"/>
    <w:rsid w:val="006C1459"/>
    <w:rsid w:val="006D799D"/>
    <w:rsid w:val="007F7B99"/>
    <w:rsid w:val="0081068B"/>
    <w:rsid w:val="00827EC2"/>
    <w:rsid w:val="00843B7A"/>
    <w:rsid w:val="008A738F"/>
    <w:rsid w:val="00997564"/>
    <w:rsid w:val="009C60C9"/>
    <w:rsid w:val="009D059D"/>
    <w:rsid w:val="009D3E04"/>
    <w:rsid w:val="00A02E5F"/>
    <w:rsid w:val="00A43AFA"/>
    <w:rsid w:val="00A90FB3"/>
    <w:rsid w:val="00B568A7"/>
    <w:rsid w:val="00BF52AD"/>
    <w:rsid w:val="00C30473"/>
    <w:rsid w:val="00C34B5B"/>
    <w:rsid w:val="00CA166A"/>
    <w:rsid w:val="00CF65DC"/>
    <w:rsid w:val="00D22314"/>
    <w:rsid w:val="00D74BFC"/>
    <w:rsid w:val="00E42978"/>
    <w:rsid w:val="00ED689B"/>
    <w:rsid w:val="00F832C2"/>
    <w:rsid w:val="00FA0EE5"/>
    <w:rsid w:val="00FA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4F6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84F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084F69"/>
    <w:pPr>
      <w:spacing w:after="120"/>
    </w:pPr>
  </w:style>
  <w:style w:type="paragraph" w:styleId="Seznam">
    <w:name w:val="List"/>
    <w:basedOn w:val="Zkladntext"/>
    <w:rsid w:val="00084F69"/>
    <w:rPr>
      <w:rFonts w:cs="Tahoma"/>
    </w:rPr>
  </w:style>
  <w:style w:type="paragraph" w:customStyle="1" w:styleId="Popisek">
    <w:name w:val="Popisek"/>
    <w:basedOn w:val="Normln"/>
    <w:rsid w:val="00084F6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4F6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084F69"/>
    <w:pPr>
      <w:suppressLineNumbers/>
    </w:pPr>
  </w:style>
  <w:style w:type="paragraph" w:styleId="Zhlav">
    <w:name w:val="header"/>
    <w:basedOn w:val="Normln"/>
    <w:rsid w:val="00446E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6ED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68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9D3E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3E0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2640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Fiala</dc:creator>
  <cp:lastModifiedBy>Uživatel systému Windows</cp:lastModifiedBy>
  <cp:revision>3</cp:revision>
  <cp:lastPrinted>1601-01-01T00:00:00Z</cp:lastPrinted>
  <dcterms:created xsi:type="dcterms:W3CDTF">2023-02-28T08:07:00Z</dcterms:created>
  <dcterms:modified xsi:type="dcterms:W3CDTF">2023-02-28T08:22:00Z</dcterms:modified>
</cp:coreProperties>
</file>